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Virtual Experiment V&amp;V Report — bio_logistic</w:t>
      </w:r>
    </w:p>
    <w:p>
      <w:r>
        <w:rPr>
          <w:b/>
        </w:rPr>
        <w:t>场景：bio_logistic（Biology/Population Dynamics）</w:t>
      </w:r>
      <w:r>
        <w:rPr>
          <w:b/>
          <w:color w:val="0F7B3F"/>
        </w:rPr>
        <w:t xml:space="preserve">　判定：PASS</w:t>
      </w:r>
    </w:p>
    <w:p>
      <w:r>
        <w:rPr>
          <w:i/>
        </w:rPr>
        <w:t>生成时间（UTC）：2026-09-18T04:43:09Z　·　结构对齐：ASME V&amp;V 10-2019 / FDA CM&amp;S report outline</w:t>
      </w:r>
    </w:p>
    <w:p>
      <w:pPr>
        <w:pStyle w:val="Heading1"/>
      </w:pPr>
      <w:r>
        <w:t>1. Executive Summary</w:t>
      </w:r>
    </w:p>
    <w:p>
      <w:r>
        <w:t xml:space="preserve">场景 </w:t>
      </w:r>
      <w:r>
        <w:rPr>
          <w:b/>
        </w:rPr>
        <w:t>bio_logistic</w:t>
      </w:r>
      <w:r>
        <w:t xml:space="preserve">（Biology/Population Dynamics）在 30 个虚拟实验点拟合后，对 40 个独立测试点的对等度判定为 </w:t>
      </w:r>
      <w:r>
        <w:rPr>
          <w:b/>
        </w:rPr>
        <w:t>PASS</w:t>
      </w:r>
      <w:r>
        <w:t>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指标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数值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判定</w:t>
            </w:r>
          </w:p>
        </w:tc>
      </w:tr>
      <w:tr>
        <w:tc>
          <w:tcPr>
            <w:tcW w:type="dxa" w:w="2880"/>
          </w:tcPr>
          <w:p>
            <w:r/>
            <w:r>
              <w:t>Out-of-sample R²</w:t>
            </w:r>
          </w:p>
        </w:tc>
        <w:tc>
          <w:tcPr>
            <w:tcW w:type="dxa" w:w="2880"/>
          </w:tcPr>
          <w:p>
            <w:r/>
            <w:r>
              <w:t>1.0000</w:t>
            </w:r>
          </w:p>
        </w:tc>
        <w:tc>
          <w:tcPr>
            <w:tcW w:type="dxa" w:w="2880"/>
          </w:tcPr>
          <w:p>
            <w:r/>
            <w:r>
              <w:t>≥0.90 通过</w:t>
            </w:r>
          </w:p>
        </w:tc>
      </w:tr>
      <w:tr>
        <w:tc>
          <w:tcPr>
            <w:tcW w:type="dxa" w:w="2880"/>
          </w:tcPr>
          <w:p>
            <w:r/>
            <w:r>
              <w:t>核心工况 R²（剔除局地极端 20%）</w:t>
            </w:r>
          </w:p>
        </w:tc>
        <w:tc>
          <w:tcPr>
            <w:tcW w:type="dxa" w:w="2880"/>
          </w:tcPr>
          <w:p>
            <w:r/>
            <w:r>
              <w:t>1.0000</w:t>
            </w:r>
          </w:p>
        </w:tc>
        <w:tc>
          <w:tcPr>
            <w:tcW w:type="dxa" w:w="2880"/>
          </w:tcPr>
          <w:p>
            <w:r/>
            <w:r>
              <w:t>操作工况下的拟合质量</w:t>
            </w:r>
          </w:p>
        </w:tc>
      </w:tr>
      <w:tr>
        <w:tc>
          <w:tcPr>
            <w:tcW w:type="dxa" w:w="2880"/>
          </w:tcPr>
          <w:p>
            <w:r/>
            <w:r>
              <w:t>RMSE</w:t>
            </w:r>
          </w:p>
        </w:tc>
        <w:tc>
          <w:tcPr>
            <w:tcW w:type="dxa" w:w="2880"/>
          </w:tcPr>
          <w:p>
            <w:r/>
            <w:r>
              <w:t>0.0672</w:t>
            </w:r>
          </w:p>
        </w:tc>
        <w:tc>
          <w:tcPr>
            <w:tcW w:type="dxa" w:w="2880"/>
          </w:tcPr>
          <w:p>
            <w:r/>
            <w:r>
              <w:t>相对 0.002</w:t>
            </w:r>
          </w:p>
        </w:tc>
      </w:tr>
      <w:tr>
        <w:tc>
          <w:tcPr>
            <w:tcW w:type="dxa" w:w="2880"/>
          </w:tcPr>
          <w:p>
            <w:r/>
            <w:r>
              <w:t>95% 区间覆盖率</w:t>
            </w:r>
          </w:p>
        </w:tc>
        <w:tc>
          <w:tcPr>
            <w:tcW w:type="dxa" w:w="2880"/>
          </w:tcPr>
          <w:p>
            <w:r/>
            <w:r>
              <w:t>1.000</w:t>
            </w:r>
          </w:p>
        </w:tc>
        <w:tc>
          <w:tcPr>
            <w:tcW w:type="dxa" w:w="2880"/>
          </w:tcPr>
          <w:p>
            <w:r/>
            <w:r>
              <w:t>偏离名义 +0.050</w:t>
            </w:r>
          </w:p>
        </w:tc>
      </w:tr>
      <w:tr>
        <w:tc>
          <w:tcPr>
            <w:tcW w:type="dxa" w:w="2880"/>
          </w:tcPr>
          <w:p>
            <w:r/>
            <w:r>
              <w:t>校准误差 abs(cov−0.95)</w:t>
            </w:r>
          </w:p>
        </w:tc>
        <w:tc>
          <w:tcPr>
            <w:tcW w:type="dxa" w:w="2880"/>
          </w:tcPr>
          <w:p>
            <w:r/>
            <w:r>
              <w:t>0.050</w:t>
            </w:r>
          </w:p>
        </w:tc>
        <w:tc>
          <w:tcPr>
            <w:tcW w:type="dxa" w:w="2880"/>
          </w:tcPr>
          <w:p>
            <w:r/>
            <w:r>
              <w:t>≤0.05 通过</w:t>
            </w:r>
          </w:p>
        </w:tc>
      </w:tr>
    </w:tbl>
    <w:p>
      <w:r>
        <w:t>判定依据：out-of-sample R²=1.000 ≥ 0.9, coverage=1.000 ≥ 0.90（校准安全，保守亦可）。</w:t>
      </w:r>
    </w:p>
    <w:p>
      <w:pPr>
        <w:pStyle w:val="Heading2"/>
      </w:pPr>
      <w:r>
        <w:t>局限性（Limitations）</w:t>
      </w:r>
    </w:p>
    <w:p>
      <w:pPr>
        <w:pStyle w:val="ListBullet"/>
      </w:pPr>
      <w:r>
        <w:t>GP 噪声地板固定 3%（不随拟合下调）：低于此量级的差异在本方法中不可分辨，不代表真实体系没有差异。本次未注入观测噪声（虚拟实验直接查询真值函数）。</w:t>
      </w:r>
    </w:p>
    <w:p>
      <w:pPr>
        <w:pStyle w:val="ListBullet"/>
      </w:pPr>
      <w:r>
        <w:t>覆盖率 1.000 基于 40 个测试点，其自身标准误约 ±0.034；覆盖率读数在 ±0.069 内的波动不应被解读为模型变化。</w:t>
      </w:r>
    </w:p>
    <w:p>
      <w:pPr>
        <w:pStyle w:val="ListBullet"/>
      </w:pPr>
      <w:r>
        <w:t>结论仅在 bounds 内成立（维度 1）；越界查询由门禁显式拒绝，不代表外推可用。</w:t>
      </w:r>
    </w:p>
    <w:p>
      <w:pPr>
        <w:pStyle w:val="ListBullet"/>
      </w:pPr>
      <w:r>
        <w:t>本报告对标的是场景自带的解析解 / 发表基准函数，不是湿实验实测值；用于真实决策前需按 mirror-run 做一次对等度验收。</w:t>
      </w:r>
    </w:p>
    <w:p>
      <w:pPr>
        <w:pStyle w:val="ListBullet"/>
      </w:pPr>
      <w:r>
        <w:t>核函数为 RBF (ARD)，长度尺度来源：auto (marginal-likelihood ARD)；核选择错误时 UQ 会系统性地过自信或过保守，本报告不自动排除该风险。</w:t>
      </w:r>
    </w:p>
    <w:p>
      <w:pPr>
        <w:pStyle w:val="ListBullet"/>
      </w:pPr>
      <w:r>
        <w:t>报告全文由确定性计算生成，无 LLM 参与，因此不含自然语言综述——代价是可读性低于人工综述，收益是无幻觉引用、可逐行复现。</w:t>
      </w:r>
    </w:p>
    <w:p>
      <w:pPr>
        <w:pStyle w:val="ListBullet"/>
      </w:pPr>
      <w:r>
        <w:t>双种子复现检验未通过：该场景对初始化敏感，单独一次结论不可信。</w:t>
      </w:r>
    </w:p>
    <w:p>
      <w:pPr>
        <w:pStyle w:val="Heading1"/>
      </w:pPr>
      <w:r>
        <w:t>2. Context of Use</w:t>
      </w:r>
    </w:p>
    <w:p>
      <w:r>
        <w:t>本报告的结论仅在下列参数区间内成立。区间由场景自带的物理/实验定义给出，不接受外推；越界查询在第 7 章的门禁中被显式拒绝，而不是返回一个无依据的标量。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维度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下界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上界</w:t>
            </w:r>
          </w:p>
        </w:tc>
      </w:tr>
      <w:tr>
        <w:tc>
          <w:tcPr>
            <w:tcW w:type="dxa" w:w="2880"/>
          </w:tcPr>
          <w:p>
            <w:r/>
            <w:r>
              <w:t>x0</w:t>
            </w:r>
          </w:p>
        </w:tc>
        <w:tc>
          <w:tcPr>
            <w:tcW w:type="dxa" w:w="2880"/>
          </w:tcPr>
          <w:p>
            <w:r/>
            <w:r>
              <w:t>0</w:t>
            </w:r>
          </w:p>
        </w:tc>
        <w:tc>
          <w:tcPr>
            <w:tcW w:type="dxa" w:w="2880"/>
          </w:tcPr>
          <w:p>
            <w:r/>
            <w:r>
              <w:t>10</w:t>
            </w:r>
          </w:p>
        </w:tc>
      </w:tr>
    </w:tbl>
    <w:p>
      <w:r>
        <w:t>适用用途：Biology/Population Dynamics。发布基准：Logistic Growth N(t)=K/(1+Ae^{-rt}), K=100,r=0.6,A=19</w:t>
      </w:r>
    </w:p>
    <w:p>
      <w:pPr>
        <w:pStyle w:val="Heading1"/>
      </w:pPr>
      <w:r>
        <w:t>3. Method</w:t>
      </w:r>
    </w:p>
    <w:p>
      <w:r>
        <w:t>代理模型为高斯过程（GP）回归，纯 numpy 实现，无外部求解器依赖。不确定性一等公民：噪声地板不随拟合下调，避免把观测噪声误当成可解释信号。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项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取值</w:t>
            </w:r>
          </w:p>
        </w:tc>
      </w:tr>
      <w:tr>
        <w:tc>
          <w:tcPr>
            <w:tcW w:type="dxa" w:w="4320"/>
          </w:tcPr>
          <w:p>
            <w:r/>
            <w:r>
              <w:t>代理模型</w:t>
            </w:r>
          </w:p>
        </w:tc>
        <w:tc>
          <w:tcPr>
            <w:tcW w:type="dxa" w:w="4320"/>
          </w:tcPr>
          <w:p>
            <w:r/>
            <w:r>
              <w:t>Gaussian Process (RBF)</w:t>
            </w:r>
          </w:p>
        </w:tc>
      </w:tr>
      <w:tr>
        <w:tc>
          <w:tcPr>
            <w:tcW w:type="dxa" w:w="4320"/>
          </w:tcPr>
          <w:p>
            <w:r/>
            <w:r>
              <w:t>核函数</w:t>
            </w:r>
          </w:p>
        </w:tc>
        <w:tc>
          <w:tcPr>
            <w:tcW w:type="dxa" w:w="4320"/>
          </w:tcPr>
          <w:p>
            <w:r/>
            <w:r>
              <w:t>RBF (ARD)</w:t>
            </w:r>
          </w:p>
        </w:tc>
      </w:tr>
      <w:tr>
        <w:tc>
          <w:tcPr>
            <w:tcW w:type="dxa" w:w="4320"/>
          </w:tcPr>
          <w:p>
            <w:r/>
            <w:r>
              <w:t>长度尺度来源</w:t>
            </w:r>
          </w:p>
        </w:tc>
        <w:tc>
          <w:tcPr>
            <w:tcW w:type="dxa" w:w="4320"/>
          </w:tcPr>
          <w:p>
            <w:r/>
            <w:r>
              <w:t>auto (marginal-likelihood ARD)</w:t>
            </w:r>
          </w:p>
        </w:tc>
      </w:tr>
      <w:tr>
        <w:tc>
          <w:tcPr>
            <w:tcW w:type="dxa" w:w="4320"/>
          </w:tcPr>
          <w:p>
            <w:r/>
            <w:r>
              <w:t>噪声模型</w:t>
            </w:r>
          </w:p>
        </w:tc>
        <w:tc>
          <w:tcPr>
            <w:tcW w:type="dxa" w:w="4320"/>
          </w:tcPr>
          <w:p>
            <w:r/>
            <w:r>
              <w:t>Gaussian, relative to response scale (honest-UQ floor, never relaxed)</w:t>
            </w:r>
          </w:p>
        </w:tc>
      </w:tr>
      <w:tr>
        <w:tc>
          <w:tcPr>
            <w:tcW w:type="dxa" w:w="4320"/>
          </w:tcPr>
          <w:p>
            <w:r/>
            <w:r>
              <w:t>GP 噪声地板</w:t>
            </w:r>
          </w:p>
        </w:tc>
        <w:tc>
          <w:tcPr>
            <w:tcW w:type="dxa" w:w="4320"/>
          </w:tcPr>
          <w:p>
            <w:r/>
            <w:r>
              <w:t>3%（归一化空间，红线：不随拟合下调）</w:t>
            </w:r>
          </w:p>
        </w:tc>
      </w:tr>
      <w:tr>
        <w:tc>
          <w:tcPr>
            <w:tcW w:type="dxa" w:w="4320"/>
          </w:tcPr>
          <w:p>
            <w:r/>
            <w:r>
              <w:t>方差标定系数 κ</w:t>
            </w:r>
          </w:p>
        </w:tc>
        <w:tc>
          <w:tcPr>
            <w:tcW w:type="dxa" w:w="4320"/>
          </w:tcPr>
          <w:p>
            <w:r/>
            <w:r>
              <w:t>1.000（≥1，只放宽预测区间，避免过度自信）</w:t>
            </w:r>
          </w:p>
        </w:tc>
      </w:tr>
      <w:tr>
        <w:tc>
          <w:tcPr>
            <w:tcW w:type="dxa" w:w="4320"/>
          </w:tcPr>
          <w:p>
            <w:r/>
            <w:r>
              <w:t>场景典型观测噪声</w:t>
            </w:r>
          </w:p>
        </w:tc>
        <w:tc>
          <w:tcPr>
            <w:tcW w:type="dxa" w:w="4320"/>
          </w:tcPr>
          <w:p>
            <w:r/>
            <w:r>
              <w:t>0%（场景声明值）</w:t>
            </w:r>
          </w:p>
        </w:tc>
      </w:tr>
      <w:tr>
        <w:tc>
          <w:tcPr>
            <w:tcW w:type="dxa" w:w="4320"/>
          </w:tcPr>
          <w:p>
            <w:r/>
            <w:r>
              <w:t>本次注入观测噪声</w:t>
            </w:r>
          </w:p>
        </w:tc>
        <w:tc>
          <w:tcPr>
            <w:tcW w:type="dxa" w:w="4320"/>
          </w:tcPr>
          <w:p>
            <w:r/>
            <w:r>
              <w:t>0%（虚拟实验直接查询真值函数，故默认不注入）</w:t>
            </w:r>
          </w:p>
        </w:tc>
      </w:tr>
      <w:tr>
        <w:tc>
          <w:tcPr>
            <w:tcW w:type="dxa" w:w="4320"/>
          </w:tcPr>
          <w:p>
            <w:r/>
            <w:r>
              <w:t>训练集</w:t>
            </w:r>
          </w:p>
        </w:tc>
        <w:tc>
          <w:tcPr>
            <w:tcW w:type="dxa" w:w="4320"/>
          </w:tcPr>
          <w:p>
            <w:r/>
            <w:r>
              <w:t>30 点，Latin Hypercube (deterministic, seeded by scenario key)</w:t>
            </w:r>
          </w:p>
        </w:tc>
      </w:tr>
      <w:tr>
        <w:tc>
          <w:tcPr>
            <w:tcW w:type="dxa" w:w="4320"/>
          </w:tcPr>
          <w:p>
            <w:r/>
            <w:r>
              <w:t>测试集</w:t>
            </w:r>
          </w:p>
        </w:tc>
        <w:tc>
          <w:tcPr>
            <w:tcW w:type="dxa" w:w="4320"/>
          </w:tcPr>
          <w:p>
            <w:r/>
            <w:r>
              <w:t>40 点，与训练集不相交</w:t>
            </w:r>
          </w:p>
        </w:tc>
      </w:tr>
    </w:tbl>
    <w:p>
      <w:r>
        <w:t>长度尺度配置（各向同性 ls 的 0.5/1/2 档 vs 各向异性 ARD）已在</w:t>
      </w:r>
      <w:r>
        <w:rPr>
          <w:b/>
        </w:rPr>
        <w:t>与训练集、测试集都独立的验证集</w:t>
      </w:r>
      <w:r>
        <w:t>上自动选定（见第 5 章），官方测试集全程不参与——因此该选择不构成对验证指标的乐观偏差。这是 ASME V&amp;V 10 对「验证数据不得用于挑配置」的落实。</w:t>
      </w:r>
    </w:p>
    <w:p>
      <w:pPr>
        <w:pStyle w:val="Heading1"/>
      </w:pPr>
      <w:r>
        <w:t>4. Code Verification</w:t>
      </w:r>
    </w:p>
    <w:p>
      <w:r>
        <w:t>同一实验在两组独立随机初始化（seed 不同）下重跑，比较指标差异。差异在阈值内说明方法本身稳定，本次结论不是抽样运气。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种子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R²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RMSE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覆盖率</w:t>
            </w:r>
          </w:p>
        </w:tc>
      </w:tr>
      <w:tr>
        <w:tc>
          <w:tcPr>
            <w:tcW w:type="dxa" w:w="2160"/>
          </w:tcPr>
          <w:p>
            <w:r/>
            <w:r>
              <w:t>A</w:t>
            </w:r>
          </w:p>
        </w:tc>
        <w:tc>
          <w:tcPr>
            <w:tcW w:type="dxa" w:w="2160"/>
          </w:tcPr>
          <w:p>
            <w:r/>
            <w:r>
              <w:t>1.0000</w:t>
            </w:r>
          </w:p>
        </w:tc>
        <w:tc>
          <w:tcPr>
            <w:tcW w:type="dxa" w:w="2160"/>
          </w:tcPr>
          <w:p>
            <w:r/>
            <w:r>
              <w:t>0.0559</w:t>
            </w:r>
          </w:p>
        </w:tc>
        <w:tc>
          <w:tcPr>
            <w:tcW w:type="dxa" w:w="2160"/>
          </w:tcPr>
          <w:p>
            <w:r/>
            <w:r>
              <w:t>1.000</w:t>
            </w:r>
          </w:p>
        </w:tc>
      </w:tr>
      <w:tr>
        <w:tc>
          <w:tcPr>
            <w:tcW w:type="dxa" w:w="2160"/>
          </w:tcPr>
          <w:p>
            <w:r/>
            <w:r>
              <w:t>B</w:t>
            </w:r>
          </w:p>
        </w:tc>
        <w:tc>
          <w:tcPr>
            <w:tcW w:type="dxa" w:w="2160"/>
          </w:tcPr>
          <w:p>
            <w:r/>
            <w:r>
              <w:t>1.0000</w:t>
            </w:r>
          </w:p>
        </w:tc>
        <w:tc>
          <w:tcPr>
            <w:tcW w:type="dxa" w:w="2160"/>
          </w:tcPr>
          <w:p>
            <w:r/>
            <w:r>
              <w:t>0.1408</w:t>
            </w:r>
          </w:p>
        </w:tc>
        <w:tc>
          <w:tcPr>
            <w:tcW w:type="dxa" w:w="2160"/>
          </w:tcPr>
          <w:p>
            <w:r/>
            <w:r>
              <w:t>1.000</w:t>
            </w:r>
          </w:p>
        </w:tc>
      </w:tr>
    </w:tbl>
    <w:p>
      <w:r>
        <w:t xml:space="preserve">相对 RMSE 差异 0.6030，覆盖率差异 0.0000，阈值 0.1 → </w:t>
      </w:r>
      <w:r>
        <w:rPr>
          <w:b/>
        </w:rPr>
        <w:t>未通过</w:t>
      </w:r>
      <w:r>
        <w:t>。</w:t>
      </w:r>
    </w:p>
    <w:p>
      <w:pPr>
        <w:pStyle w:val="Heading1"/>
      </w:pPr>
      <w:r>
        <w:t>5. Uncertainty Quantification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指标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数值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说明</w:t>
            </w:r>
          </w:p>
        </w:tc>
      </w:tr>
      <w:tr>
        <w:tc>
          <w:tcPr>
            <w:tcW w:type="dxa" w:w="2880"/>
          </w:tcPr>
          <w:p>
            <w:r/>
            <w:r>
              <w:t>Out-of-sample R²</w:t>
            </w:r>
          </w:p>
        </w:tc>
        <w:tc>
          <w:tcPr>
            <w:tcW w:type="dxa" w:w="2880"/>
          </w:tcPr>
          <w:p>
            <w:r/>
            <w:r>
              <w:t>1.0000</w:t>
            </w:r>
          </w:p>
        </w:tc>
        <w:tc>
          <w:tcPr>
            <w:tcW w:type="dxa" w:w="2880"/>
          </w:tcPr>
          <w:p>
            <w:r/>
            <w:r>
              <w:t>正式判定依据（全测试集）</w:t>
            </w:r>
          </w:p>
        </w:tc>
      </w:tr>
      <w:tr>
        <w:tc>
          <w:tcPr>
            <w:tcW w:type="dxa" w:w="2880"/>
          </w:tcPr>
          <w:p>
            <w:r/>
            <w:r>
              <w:t>核心工况 R²</w:t>
            </w:r>
          </w:p>
        </w:tc>
        <w:tc>
          <w:tcPr>
            <w:tcW w:type="dxa" w:w="2880"/>
          </w:tcPr>
          <w:p>
            <w:r/>
            <w:r>
              <w:t>1.0000</w:t>
            </w:r>
          </w:p>
        </w:tc>
        <w:tc>
          <w:tcPr>
            <w:tcW w:type="dxa" w:w="2880"/>
          </w:tcPr>
          <w:p>
            <w:r/>
            <w:r>
              <w:t>剔除真值两端各 10% 后的 R²，反映操作工况质量</w:t>
            </w:r>
          </w:p>
        </w:tc>
      </w:tr>
      <w:tr>
        <w:tc>
          <w:tcPr>
            <w:tcW w:type="dxa" w:w="2880"/>
          </w:tcPr>
          <w:p>
            <w:r/>
            <w:r>
              <w:t>RMSE</w:t>
            </w:r>
          </w:p>
        </w:tc>
        <w:tc>
          <w:tcPr>
            <w:tcW w:type="dxa" w:w="2880"/>
          </w:tcPr>
          <w:p>
            <w:r/>
            <w:r>
              <w:t>0.0672</w:t>
            </w:r>
          </w:p>
        </w:tc>
        <w:tc>
          <w:tcPr>
            <w:tcW w:type="dxa" w:w="2880"/>
          </w:tcPr>
          <w:p>
            <w:r/>
            <w:r>
              <w:t>预测均值对基准的均方根误差</w:t>
            </w:r>
          </w:p>
        </w:tc>
      </w:tr>
      <w:tr>
        <w:tc>
          <w:tcPr>
            <w:tcW w:type="dxa" w:w="2880"/>
          </w:tcPr>
          <w:p>
            <w:r/>
            <w:r>
              <w:t>相对 RMSE</w:t>
            </w:r>
          </w:p>
        </w:tc>
        <w:tc>
          <w:tcPr>
            <w:tcW w:type="dxa" w:w="2880"/>
          </w:tcPr>
          <w:p>
            <w:r/>
            <w:r>
              <w:t>0.0021</w:t>
            </w:r>
          </w:p>
        </w:tc>
        <w:tc>
          <w:tcPr>
            <w:tcW w:type="dxa" w:w="2880"/>
          </w:tcPr>
          <w:p>
            <w:r/>
            <w:r>
              <w:t>除以响应标准差，跨场景可比</w:t>
            </w:r>
          </w:p>
        </w:tc>
      </w:tr>
      <w:tr>
        <w:tc>
          <w:tcPr>
            <w:tcW w:type="dxa" w:w="2880"/>
          </w:tcPr>
          <w:p>
            <w:r/>
            <w:r>
              <w:t>95% 覆盖率</w:t>
            </w:r>
          </w:p>
        </w:tc>
        <w:tc>
          <w:tcPr>
            <w:tcW w:type="dxa" w:w="2880"/>
          </w:tcPr>
          <w:p>
            <w:r/>
            <w:r>
              <w:t>1.000</w:t>
            </w:r>
          </w:p>
        </w:tc>
        <w:tc>
          <w:tcPr>
            <w:tcW w:type="dxa" w:w="2880"/>
          </w:tcPr>
          <w:p>
            <w:r/>
            <w:r>
              <w:t>名义 0.95</w:t>
            </w:r>
          </w:p>
        </w:tc>
      </w:tr>
      <w:tr>
        <w:tc>
          <w:tcPr>
            <w:tcW w:type="dxa" w:w="2880"/>
          </w:tcPr>
          <w:p>
            <w:r/>
            <w:r>
              <w:t>覆盖率偏差</w:t>
            </w:r>
          </w:p>
        </w:tc>
        <w:tc>
          <w:tcPr>
            <w:tcW w:type="dxa" w:w="2880"/>
          </w:tcPr>
          <w:p>
            <w:r/>
            <w:r>
              <w:t>+0.050</w:t>
            </w:r>
          </w:p>
        </w:tc>
        <w:tc>
          <w:tcPr>
            <w:tcW w:type="dxa" w:w="2880"/>
          </w:tcPr>
          <w:p>
            <w:r/>
            <w:r>
              <w:t>负=过自信，正=保守</w:t>
            </w:r>
          </w:p>
        </w:tc>
      </w:tr>
      <w:tr>
        <w:tc>
          <w:tcPr>
            <w:tcW w:type="dxa" w:w="2880"/>
          </w:tcPr>
          <w:p>
            <w:r/>
            <w:r>
              <w:t>校准误差</w:t>
            </w:r>
          </w:p>
        </w:tc>
        <w:tc>
          <w:tcPr>
            <w:tcW w:type="dxa" w:w="2880"/>
          </w:tcPr>
          <w:p>
            <w:r/>
            <w:r>
              <w:t>0.050</w:t>
            </w:r>
          </w:p>
        </w:tc>
        <w:tc>
          <w:tcPr>
            <w:tcW w:type="dxa" w:w="2880"/>
          </w:tcPr>
          <w:p>
            <w:r/>
            <w:r>
              <w:t>abs(coverage − 0.95)</w:t>
            </w:r>
          </w:p>
        </w:tc>
      </w:tr>
      <w:tr>
        <w:tc>
          <w:tcPr>
            <w:tcW w:type="dxa" w:w="2880"/>
          </w:tcPr>
          <w:p>
            <w:r/>
            <w:r>
              <w:t>平均后验 std</w:t>
            </w:r>
          </w:p>
        </w:tc>
        <w:tc>
          <w:tcPr>
            <w:tcW w:type="dxa" w:w="2880"/>
          </w:tcPr>
          <w:p>
            <w:r/>
            <w:r>
              <w:t>1.0638</w:t>
            </w:r>
          </w:p>
        </w:tc>
        <w:tc>
          <w:tcPr>
            <w:tcW w:type="dxa" w:w="2880"/>
          </w:tcPr>
          <w:p>
            <w:r/>
            <w:r>
              <w:t>测试集上的平均不确定度</w:t>
            </w:r>
          </w:p>
        </w:tc>
      </w:tr>
    </w:tbl>
    <w:p>
      <w:r>
        <w:t>留一交叉验证（30 折）：R²=1.0000，RMSE=0.004825，覆盖率=0.567。与留出集结果互为交叉印证。</w:t>
      </w:r>
    </w:p>
    <w:p>
      <w:pPr>
        <w:pStyle w:val="Heading2"/>
      </w:pPr>
      <w:r>
        <w:t>长度尺度配置选择</w:t>
      </w:r>
    </w:p>
    <w:p>
      <w:r>
        <w:t xml:space="preserve">选中 </w:t>
      </w:r>
      <w:r>
        <w:rPr>
          <w:b/>
        </w:rPr>
        <w:t>ARD (auto)</w:t>
      </w:r>
      <w:r>
        <w:t>：数据量达到 ARD 门槛 n&gt;=4d+6：长度尺度由边际似然学习，并受 LOO 守卫约束（不劣于先验才采用）；不使用人工先验网格，避免边界层响应下网格选型失明。。</w:t>
      </w:r>
    </w:p>
    <w:p>
      <w:pPr>
        <w:pStyle w:val="Heading1"/>
      </w:pPr>
      <w:r>
        <w:t>6. Validation Metrics</w:t>
      </w:r>
    </w:p>
    <w:p>
      <w:r>
        <w:t>判定结果：</w:t>
      </w:r>
      <w:r>
        <w:rPr>
          <w:b/>
        </w:rPr>
        <w:t>PASS</w:t>
      </w:r>
    </w:p>
    <w:p>
      <w:r>
        <w:t>依据：out-of-sample R²=1.000 ≥ 0.9, coverage=1.000 ≥ 0.90（校准安全，保守亦可）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等级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条件</w:t>
            </w:r>
          </w:p>
        </w:tc>
        <w:tc>
          <w:tcPr>
            <w:tcW w:type="dxa" w:w="2880"/>
          </w:tcPr>
          <w:p>
            <w:r>
              <w:rPr>
                <w:b/>
              </w:rPr>
            </w:r>
            <w:r>
              <w:rPr>
                <w:b/>
              </w:rPr>
              <w:t>本份</w:t>
            </w:r>
          </w:p>
        </w:tc>
      </w:tr>
      <w:tr>
        <w:tc>
          <w:tcPr>
            <w:tcW w:type="dxa" w:w="2880"/>
          </w:tcPr>
          <w:p>
            <w:r/>
            <w:r>
              <w:t>PASS</w:t>
            </w:r>
          </w:p>
        </w:tc>
        <w:tc>
          <w:tcPr>
            <w:tcW w:type="dxa" w:w="2880"/>
          </w:tcPr>
          <w:p>
            <w:r/>
            <w:r>
              <w:t>R² ≥ 0.9 且 coverage ≥ 0.90（保守亦可）</w:t>
            </w:r>
          </w:p>
        </w:tc>
        <w:tc>
          <w:tcPr>
            <w:tcW w:type="dxa" w:w="2880"/>
          </w:tcPr>
          <w:p>
            <w:r/>
            <w:r>
              <w:t>命中</w:t>
            </w:r>
          </w:p>
        </w:tc>
      </w:tr>
      <w:tr>
        <w:tc>
          <w:tcPr>
            <w:tcW w:type="dxa" w:w="2880"/>
          </w:tcPr>
          <w:p>
            <w:r/>
            <w:r>
              <w:t>MARGINAL</w:t>
            </w:r>
          </w:p>
        </w:tc>
        <w:tc>
          <w:tcPr>
            <w:tcW w:type="dxa" w:w="2880"/>
          </w:tcPr>
          <w:p>
            <w:r/>
            <w:r>
              <w:t>R² ≥ 0.7 且 coverage ≥ 0.80</w:t>
            </w:r>
          </w:p>
        </w:tc>
        <w:tc>
          <w:tcPr>
            <w:tcW w:type="dxa" w:w="2880"/>
          </w:tcPr>
          <w:p>
            <w:r/>
            <w:r>
              <w:t>未命中</w:t>
            </w:r>
          </w:p>
        </w:tc>
      </w:tr>
      <w:tr>
        <w:tc>
          <w:tcPr>
            <w:tcW w:type="dxa" w:w="2880"/>
          </w:tcPr>
          <w:p>
            <w:r/>
            <w:r>
              <w:t>REFUTED</w:t>
            </w:r>
          </w:p>
        </w:tc>
        <w:tc>
          <w:tcPr>
            <w:tcW w:type="dxa" w:w="2880"/>
          </w:tcPr>
          <w:p>
            <w:r/>
            <w:r>
              <w:t>其余（拟合不足或过度自信 coverage&lt;0.80）</w:t>
            </w:r>
          </w:p>
        </w:tc>
        <w:tc>
          <w:tcPr>
            <w:tcW w:type="dxa" w:w="2880"/>
          </w:tcPr>
          <w:p>
            <w:r/>
            <w:r>
              <w:t>未命中</w:t>
            </w:r>
          </w:p>
        </w:tc>
      </w:tr>
    </w:tbl>
    <w:p>
      <w:r>
        <w:t>阈值口径与 skills/paper-claim-validation 的 claim 分级一致，同一项目不出现两套「什么叫通过」的标准。</w:t>
      </w:r>
    </w:p>
    <w:p>
      <w:pPr>
        <w:pStyle w:val="Heading1"/>
      </w:pPr>
      <w:r>
        <w:t>6.5. Baseline Comparison (RF vs GP)</w:t>
      </w:r>
    </w:p>
    <w:p>
      <w:r>
        <w:t>RandomForest+Conformal 基线在同一批 train/test 数据上的得分，作为验证闸门区分能力的锚点。RF 不参与生产预测，仅作外部对标。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指标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GP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RF+Conformal</w:t>
            </w:r>
          </w:p>
        </w:tc>
        <w:tc>
          <w:tcPr>
            <w:tcW w:type="dxa" w:w="2160"/>
          </w:tcPr>
          <w:p>
            <w:r>
              <w:rPr>
                <w:b/>
              </w:rPr>
            </w:r>
            <w:r>
              <w:rPr>
                <w:b/>
              </w:rPr>
              <w:t>差异</w:t>
            </w:r>
          </w:p>
        </w:tc>
      </w:tr>
      <w:tr>
        <w:tc>
          <w:tcPr>
            <w:tcW w:type="dxa" w:w="2160"/>
          </w:tcPr>
          <w:p>
            <w:r/>
            <w:r>
              <w:t>R²</w:t>
            </w:r>
          </w:p>
        </w:tc>
        <w:tc>
          <w:tcPr>
            <w:tcW w:type="dxa" w:w="2160"/>
          </w:tcPr>
          <w:p>
            <w:r/>
            <w:r>
              <w:t>1.0000</w:t>
            </w:r>
          </w:p>
        </w:tc>
        <w:tc>
          <w:tcPr>
            <w:tcW w:type="dxa" w:w="2160"/>
          </w:tcPr>
          <w:p>
            <w:r/>
            <w:r>
              <w:t>0.9941</w:t>
            </w:r>
          </w:p>
        </w:tc>
        <w:tc>
          <w:tcPr>
            <w:tcW w:type="dxa" w:w="2160"/>
          </w:tcPr>
          <w:p>
            <w:r/>
            <w:r>
              <w:t>-0.0059</w:t>
            </w:r>
          </w:p>
        </w:tc>
      </w:tr>
      <w:tr>
        <w:tc>
          <w:tcPr>
            <w:tcW w:type="dxa" w:w="2160"/>
          </w:tcPr>
          <w:p>
            <w:r/>
            <w:r>
              <w:t>95% Coverage</w:t>
            </w:r>
          </w:p>
        </w:tc>
        <w:tc>
          <w:tcPr>
            <w:tcW w:type="dxa" w:w="2160"/>
          </w:tcPr>
          <w:p>
            <w:r/>
            <w:r>
              <w:t>1.0000</w:t>
            </w:r>
          </w:p>
        </w:tc>
        <w:tc>
          <w:tcPr>
            <w:tcW w:type="dxa" w:w="2160"/>
          </w:tcPr>
          <w:p>
            <w:r/>
            <w:r>
              <w:t>0.9750</w:t>
            </w:r>
          </w:p>
        </w:tc>
        <w:tc>
          <w:tcPr>
            <w:tcW w:type="dxa" w:w="2160"/>
          </w:tcPr>
          <w:p>
            <w:r/>
            <w:r>
              <w:t>-0.0250</w:t>
            </w:r>
          </w:p>
        </w:tc>
      </w:tr>
      <w:tr>
        <w:tc>
          <w:tcPr>
            <w:tcW w:type="dxa" w:w="2160"/>
          </w:tcPr>
          <w:p>
            <w:r/>
            <w:r>
              <w:t>Conformal Q</w:t>
            </w:r>
          </w:p>
        </w:tc>
        <w:tc>
          <w:tcPr>
            <w:tcW w:type="dxa" w:w="2160"/>
          </w:tcPr>
          <w:p>
            <w:r/>
            <w:r>
              <w:t>N/A</w:t>
            </w:r>
          </w:p>
        </w:tc>
        <w:tc>
          <w:tcPr>
            <w:tcW w:type="dxa" w:w="2160"/>
          </w:tcPr>
          <w:p>
            <w:r/>
            <w:r>
              <w:t>1.5830</w:t>
            </w:r>
          </w:p>
        </w:tc>
        <w:tc>
          <w:tcPr>
            <w:tcW w:type="dxa" w:w="2160"/>
          </w:tcPr>
          <w:p>
            <w:r/>
            <w:r>
              <w:t>—</w:t>
            </w:r>
          </w:p>
        </w:tc>
      </w:tr>
      <w:tr>
        <w:tc>
          <w:tcPr>
            <w:tcW w:type="dxa" w:w="2160"/>
          </w:tcPr>
          <w:p>
            <w:r/>
            <w:r>
              <w:t>Grade</w:t>
            </w:r>
          </w:p>
        </w:tc>
        <w:tc>
          <w:tcPr>
            <w:tcW w:type="dxa" w:w="2160"/>
          </w:tcPr>
          <w:p>
            <w:r/>
            <w:r>
              <w:t>PASS</w:t>
            </w:r>
          </w:p>
        </w:tc>
        <w:tc>
          <w:tcPr>
            <w:tcW w:type="dxa" w:w="2160"/>
          </w:tcPr>
          <w:p>
            <w:r/>
            <w:r>
              <w:t>PASS</w:t>
            </w:r>
          </w:p>
        </w:tc>
        <w:tc>
          <w:tcPr>
            <w:tcW w:type="dxa" w:w="2160"/>
          </w:tcPr>
          <w:p>
            <w:r/>
            <w:r>
              <w:t>两者接近</w:t>
            </w:r>
          </w:p>
        </w:tc>
      </w:tr>
    </w:tbl>
    <w:p>
      <w:r>
        <w:t>GP R²=1.0000 / cov=1.0000 (PASS) vs RF R²=0.9941 / cov=0.9750 (PASS)</w:t>
      </w:r>
    </w:p>
    <w:p>
      <w:r>
        <w:t>RF 配置：20 棵 CART 树（max_depth=4），cross-conformal 校准（k=5, 3 repeats）。RMSE_rel=0.0773，NMPIW=0.1678。</w:t>
      </w:r>
    </w:p>
    <w:p>
      <w:r>
        <w:t>RF 仅作外部对标基线，不参与生产预测；两者用同一批 train/test 数据</w:t>
      </w:r>
    </w:p>
    <w:p>
      <w:pPr>
        <w:pStyle w:val="Heading1"/>
      </w:pPr>
      <w:r>
        <w:t>7. Out-of-Disposition Gate</w:t>
      </w:r>
    </w:p>
    <w:p>
      <w:r>
        <w:t>「替代真实实验」的前提是不可信的区必须自己说出来。本门禁对域内点放行，对域外点（bounds 外扩 1.6–2.2 倍）显式拒绝。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探针集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点数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trusted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caution</w:t>
            </w:r>
          </w:p>
        </w:tc>
        <w:tc>
          <w:tcPr>
            <w:tcW w:type="dxa" w:w="1728"/>
          </w:tcPr>
          <w:p>
            <w:r>
              <w:rPr>
                <w:b/>
              </w:rPr>
            </w:r>
            <w:r>
              <w:rPr>
                <w:b/>
              </w:rPr>
              <w:t>out_of_distribution</w:t>
            </w:r>
          </w:p>
        </w:tc>
      </w:tr>
      <w:tr>
        <w:tc>
          <w:tcPr>
            <w:tcW w:type="dxa" w:w="1728"/>
          </w:tcPr>
          <w:p>
            <w:r/>
            <w:r>
              <w:t>域内</w:t>
            </w:r>
          </w:p>
        </w:tc>
        <w:tc>
          <w:tcPr>
            <w:tcW w:type="dxa" w:w="1728"/>
          </w:tcPr>
          <w:p>
            <w:r/>
            <w:r>
              <w:t>120</w:t>
            </w:r>
          </w:p>
        </w:tc>
        <w:tc>
          <w:tcPr>
            <w:tcW w:type="dxa" w:w="1728"/>
          </w:tcPr>
          <w:p>
            <w:r/>
            <w:r>
              <w:t>120</w:t>
            </w:r>
          </w:p>
        </w:tc>
        <w:tc>
          <w:tcPr>
            <w:tcW w:type="dxa" w:w="1728"/>
          </w:tcPr>
          <w:p>
            <w:r/>
            <w:r>
              <w:t>0</w:t>
            </w:r>
          </w:p>
        </w:tc>
        <w:tc>
          <w:tcPr>
            <w:tcW w:type="dxa" w:w="1728"/>
          </w:tcPr>
          <w:p>
            <w:r/>
            <w:r>
              <w:t>0</w:t>
            </w:r>
          </w:p>
        </w:tc>
      </w:tr>
      <w:tr>
        <w:tc>
          <w:tcPr>
            <w:tcW w:type="dxa" w:w="1728"/>
          </w:tcPr>
          <w:p>
            <w:r/>
            <w:r>
              <w:t>域外</w:t>
            </w:r>
          </w:p>
        </w:tc>
        <w:tc>
          <w:tcPr>
            <w:tcW w:type="dxa" w:w="1728"/>
          </w:tcPr>
          <w:p>
            <w:r/>
            <w:r>
              <w:t>60</w:t>
            </w:r>
          </w:p>
        </w:tc>
        <w:tc>
          <w:tcPr>
            <w:tcW w:type="dxa" w:w="1728"/>
          </w:tcPr>
          <w:p>
            <w:r/>
            <w:r>
              <w:t>0</w:t>
            </w:r>
          </w:p>
        </w:tc>
        <w:tc>
          <w:tcPr>
            <w:tcW w:type="dxa" w:w="1728"/>
          </w:tcPr>
          <w:p>
            <w:r/>
            <w:r>
              <w:t>0</w:t>
            </w:r>
          </w:p>
        </w:tc>
        <w:tc>
          <w:tcPr>
            <w:tcW w:type="dxa" w:w="1728"/>
          </w:tcPr>
          <w:p>
            <w:r/>
            <w:r>
              <w:t>60</w:t>
            </w:r>
          </w:p>
        </w:tc>
      </w:tr>
    </w:tbl>
    <w:p>
      <w:r>
        <w:t>域外拒绝率 1.000 → 门禁有效。OOD 判定阈值 0.0481（归一化距离）。</w:t>
      </w:r>
    </w:p>
    <w:p>
      <w:pPr>
        <w:pStyle w:val="Heading1"/>
      </w:pPr>
      <w:r>
        <w:t>8. Recommendations</w:t>
      </w:r>
    </w:p>
    <w:p>
      <w:r>
        <w:t>下一步最该做的实验点（若做真实实验校验，优先这两点；在虚拟实验体系内，这两点用于最快降低后验不确定度）。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策略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推荐点</w:t>
            </w:r>
          </w:p>
        </w:tc>
      </w:tr>
      <w:tr>
        <w:tc>
          <w:tcPr>
            <w:tcW w:type="dxa" w:w="4320"/>
          </w:tcPr>
          <w:p>
            <w:r/>
            <w:r>
              <w:t>最大后验方差（主动学习）</w:t>
            </w:r>
          </w:p>
        </w:tc>
        <w:tc>
          <w:tcPr>
            <w:tcW w:type="dxa" w:w="4320"/>
          </w:tcPr>
          <w:p>
            <w:r/>
            <w:r>
              <w:t>9.955</w:t>
            </w:r>
          </w:p>
        </w:tc>
      </w:tr>
      <w:tr>
        <w:tc>
          <w:tcPr>
            <w:tcW w:type="dxa" w:w="4320"/>
          </w:tcPr>
          <w:p>
            <w:r/>
            <w:r>
              <w:t>BALD（集成分歧，信息量最大）</w:t>
            </w:r>
          </w:p>
        </w:tc>
        <w:tc>
          <w:tcPr>
            <w:tcW w:type="dxa" w:w="4320"/>
          </w:tcPr>
          <w:p>
            <w:r/>
            <w:r>
              <w:t>0.0563</w:t>
            </w:r>
          </w:p>
        </w:tc>
      </w:tr>
    </w:tbl>
    <w:p>
      <w:pPr>
        <w:pStyle w:val="Heading1"/>
      </w:pPr>
      <w:r>
        <w:t>9. Reproducibility Manifest</w:t>
      </w:r>
    </w:p>
    <w:p>
      <w:r>
        <w:t>以下信息足以让第三方重跑出同一组数值。本报告不依赖网络与实验设备。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项</w:t>
            </w:r>
          </w:p>
        </w:tc>
        <w:tc>
          <w:tcPr>
            <w:tcW w:type="dxa" w:w="4320"/>
          </w:tcPr>
          <w:p>
            <w:r>
              <w:rPr>
                <w:b/>
              </w:rPr>
            </w:r>
            <w:r>
              <w:rPr>
                <w:b/>
              </w:rPr>
              <w:t>值</w:t>
            </w:r>
          </w:p>
        </w:tc>
      </w:tr>
      <w:tr>
        <w:tc>
          <w:tcPr>
            <w:tcW w:type="dxa" w:w="4320"/>
          </w:tcPr>
          <w:p>
            <w:r/>
            <w:r>
              <w:t>scenario key</w:t>
            </w:r>
          </w:p>
        </w:tc>
        <w:tc>
          <w:tcPr>
            <w:tcW w:type="dxa" w:w="4320"/>
          </w:tcPr>
          <w:p>
            <w:r/>
            <w:r>
              <w:t>bio_logistic</w:t>
            </w:r>
          </w:p>
        </w:tc>
      </w:tr>
      <w:tr>
        <w:tc>
          <w:tcPr>
            <w:tcW w:type="dxa" w:w="4320"/>
          </w:tcPr>
          <w:p>
            <w:r/>
            <w:r>
              <w:t>seed</w:t>
            </w:r>
          </w:p>
        </w:tc>
        <w:tc>
          <w:tcPr>
            <w:tcW w:type="dxa" w:w="4320"/>
          </w:tcPr>
          <w:p>
            <w:r/>
            <w:r>
              <w:t>0</w:t>
            </w:r>
          </w:p>
        </w:tc>
      </w:tr>
      <w:tr>
        <w:tc>
          <w:tcPr>
            <w:tcW w:type="dxa" w:w="4320"/>
          </w:tcPr>
          <w:p>
            <w:r/>
            <w:r>
              <w:t>n_train / n_test</w:t>
            </w:r>
          </w:p>
        </w:tc>
        <w:tc>
          <w:tcPr>
            <w:tcW w:type="dxa" w:w="4320"/>
          </w:tcPr>
          <w:p>
            <w:r/>
            <w:r>
              <w:t>30 / 40</w:t>
            </w:r>
          </w:p>
        </w:tc>
      </w:tr>
      <w:tr>
        <w:tc>
          <w:tcPr>
            <w:tcW w:type="dxa" w:w="4320"/>
          </w:tcPr>
          <w:p>
            <w:r/>
            <w:r>
              <w:t>采样</w:t>
            </w:r>
          </w:p>
        </w:tc>
        <w:tc>
          <w:tcPr>
            <w:tcW w:type="dxa" w:w="4320"/>
          </w:tcPr>
          <w:p>
            <w:r/>
            <w:r>
              <w:t>Latin Hypercube (deterministic, seeded by scenario key)</w:t>
            </w:r>
          </w:p>
        </w:tc>
      </w:tr>
      <w:tr>
        <w:tc>
          <w:tcPr>
            <w:tcW w:type="dxa" w:w="4320"/>
          </w:tcPr>
          <w:p>
            <w:r/>
            <w:r>
              <w:t>核 / 长度尺度</w:t>
            </w:r>
          </w:p>
        </w:tc>
        <w:tc>
          <w:tcPr>
            <w:tcW w:type="dxa" w:w="4320"/>
          </w:tcPr>
          <w:p>
            <w:r/>
            <w:r>
              <w:t>RBF (ARD) / auto (marginal-likelihood ARD)</w:t>
            </w:r>
          </w:p>
        </w:tc>
      </w:tr>
      <w:tr>
        <w:tc>
          <w:tcPr>
            <w:tcW w:type="dxa" w:w="4320"/>
          </w:tcPr>
          <w:p>
            <w:r/>
            <w:r>
              <w:t>GP 噪声地板 / 注入观测噪声</w:t>
            </w:r>
          </w:p>
        </w:tc>
        <w:tc>
          <w:tcPr>
            <w:tcW w:type="dxa" w:w="4320"/>
          </w:tcPr>
          <w:p>
            <w:r/>
            <w:r>
              <w:t>3% / 0%</w:t>
            </w:r>
          </w:p>
        </w:tc>
      </w:tr>
      <w:tr>
        <w:tc>
          <w:tcPr>
            <w:tcW w:type="dxa" w:w="4320"/>
          </w:tcPr>
          <w:p>
            <w:r/>
            <w:r>
              <w:t>代码 commit</w:t>
            </w:r>
          </w:p>
        </w:tc>
        <w:tc>
          <w:tcPr>
            <w:tcW w:type="dxa" w:w="4320"/>
          </w:tcPr>
          <w:p>
            <w:r/>
            <w:r>
              <w:t>1de10d6</w:t>
            </w:r>
          </w:p>
        </w:tc>
      </w:tr>
      <w:tr>
        <w:tc>
          <w:tcPr>
            <w:tcW w:type="dxa" w:w="4320"/>
          </w:tcPr>
          <w:p>
            <w:r/>
            <w:r>
              <w:t>Python / numpy</w:t>
            </w:r>
          </w:p>
        </w:tc>
        <w:tc>
          <w:tcPr>
            <w:tcW w:type="dxa" w:w="4320"/>
          </w:tcPr>
          <w:p>
            <w:r/>
            <w:r>
              <w:t>3.14.6 / 2.5.2</w:t>
            </w:r>
          </w:p>
        </w:tc>
      </w:tr>
      <w:tr>
        <w:tc>
          <w:tcPr>
            <w:tcW w:type="dxa" w:w="4320"/>
          </w:tcPr>
          <w:p>
            <w:r/>
            <w:r>
              <w:t>引擎</w:t>
            </w:r>
          </w:p>
        </w:tc>
        <w:tc>
          <w:tcPr>
            <w:tcW w:type="dxa" w:w="4320"/>
          </w:tcPr>
          <w:p>
            <w:r/>
            <w:r>
              <w:t>engine/surrogate.py :: SurrogateEngine (GP + UQ)</w:t>
            </w:r>
          </w:p>
        </w:tc>
      </w:tr>
      <w:tr>
        <w:tc>
          <w:tcPr>
            <w:tcW w:type="dxa" w:w="4320"/>
          </w:tcPr>
          <w:p>
            <w:r/>
            <w:r>
              <w:t>生成时间(UTC)</w:t>
            </w:r>
          </w:p>
        </w:tc>
        <w:tc>
          <w:tcPr>
            <w:tcW w:type="dxa" w:w="4320"/>
          </w:tcPr>
          <w:p>
            <w:r/>
            <w:r>
              <w:t>2026-09-18T04:43:09Z</w:t>
            </w:r>
          </w:p>
        </w:tc>
      </w:tr>
      <w:tr>
        <w:tc>
          <w:tcPr>
            <w:tcW w:type="dxa" w:w="4320"/>
          </w:tcPr>
          <w:p>
            <w:r/>
            <w:r>
              <w:t>需要网络</w:t>
            </w:r>
          </w:p>
        </w:tc>
        <w:tc>
          <w:tcPr>
            <w:tcW w:type="dxa" w:w="4320"/>
          </w:tcPr>
          <w:p>
            <w:r/>
            <w:r>
              <w:t>否</w:t>
            </w:r>
          </w:p>
        </w:tc>
      </w:tr>
      <w:tr>
        <w:tc>
          <w:tcPr>
            <w:tcW w:type="dxa" w:w="4320"/>
          </w:tcPr>
          <w:p>
            <w:r/>
            <w:r>
              <w:t>需要实验设备</w:t>
            </w:r>
          </w:p>
        </w:tc>
        <w:tc>
          <w:tcPr>
            <w:tcW w:type="dxa" w:w="4320"/>
          </w:tcPr>
          <w:p>
            <w:r/>
            <w:r>
              <w:t>否</w:t>
            </w:r>
          </w:p>
        </w:tc>
      </w:tr>
    </w:tbl>
    <w:p>
      <w:pPr>
        <w:ind w:left="0"/>
      </w:pPr>
      <w:r>
        <w:rPr>
          <w:rFonts w:ascii="Consolas" w:hAnsi="Consolas" w:eastAsia="Consolas"/>
          <w:sz w:val="18"/>
        </w:rPr>
        <w:t>python engine/report_generator.py --scenario bio_logistic --n-train 30 --n-test 40 --seed 0 --format md</w:t>
      </w:r>
    </w:p>
    <w:p>
      <w:pPr>
        <w:pStyle w:val="Heading1"/>
      </w:pPr>
      <w:r>
        <w:t>10. References</w:t>
      </w:r>
    </w:p>
    <w:p>
      <w:r>
        <w:t>下列文献由场景定义自带（发表公式 / 系数来源），非 LLM 生成，因此不存在幻觉引用。</w:t>
      </w:r>
    </w:p>
    <w:p>
      <w:pPr>
        <w:pStyle w:val="ListBullet"/>
      </w:pPr>
      <w:r>
        <w:t>Verhulst P.F. (1838). Notice sur la loi que la population suit dans son accroissement. Corr. Math. Phys. 10:113-121.</w:t>
      </w:r>
    </w:p>
    <w:p>
      <w:pPr>
        <w:pStyle w:val="ListBullet"/>
      </w:pPr>
      <w:r>
        <w:t>Tsoularis A., Wallace J. (2002). Analysis of logistic growth models. Math. Biosci. 179(1):21-55.</w:t>
      </w:r>
    </w:p>
    <w:p>
      <w:r>
        <w:t>发布基准值：Logistic Growth N(t)=K/(1+Ae^{-rt}), K=100,r=0.6,A=19</w:t>
      </w:r>
    </w:p>
    <w:p>
      <w:r>
        <w:rPr>
          <w:i/>
        </w:rPr>
        <w:t>本报告由 SwarmLabs 虚拟实验引擎确定性生成：全部数值可重跑，无 LLM 参与，无幻觉引用。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